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B" w:rsidRPr="004928E6" w:rsidRDefault="007C3976" w:rsidP="000A181B">
      <w:pPr>
        <w:ind w:left="1276"/>
        <w:jc w:val="right"/>
        <w:rPr>
          <w:rFonts w:cs="Arial"/>
          <w:b/>
          <w:color w:val="595959" w:themeColor="text1" w:themeTint="A6"/>
        </w:rPr>
      </w:pPr>
      <w:r w:rsidRPr="004928E6">
        <w:rPr>
          <w:rFonts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0A181B" w:rsidRPr="004928E6" w:rsidRDefault="000A181B" w:rsidP="000A181B">
      <w:pPr>
        <w:ind w:left="1276"/>
        <w:jc w:val="right"/>
        <w:rPr>
          <w:rFonts w:cs="Arial"/>
          <w:b/>
          <w:color w:val="595959" w:themeColor="text1" w:themeTint="A6"/>
        </w:rPr>
      </w:pP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MINUTA</w:t>
      </w: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0A181B" w:rsidRPr="004928E6" w:rsidRDefault="000A181B" w:rsidP="000A181B">
      <w:pPr>
        <w:spacing w:after="0"/>
        <w:jc w:val="center"/>
        <w:rPr>
          <w:rFonts w:cs="Times New Roman"/>
          <w:b/>
          <w:color w:val="595959" w:themeColor="text1" w:themeTint="A6"/>
          <w:sz w:val="24"/>
          <w:szCs w:val="24"/>
        </w:rPr>
      </w:pPr>
      <w:r w:rsidRPr="004928E6">
        <w:rPr>
          <w:rFonts w:cs="Times New Roman"/>
          <w:b/>
          <w:color w:val="595959" w:themeColor="text1" w:themeTint="A6"/>
          <w:sz w:val="24"/>
          <w:szCs w:val="24"/>
        </w:rPr>
        <w:t>Reunión</w:t>
      </w:r>
      <w:r w:rsidR="00BE6E80">
        <w:rPr>
          <w:rFonts w:cs="Times New Roman"/>
          <w:b/>
          <w:color w:val="595959" w:themeColor="text1" w:themeTint="A6"/>
          <w:sz w:val="24"/>
          <w:szCs w:val="24"/>
        </w:rPr>
        <w:t xml:space="preserve"> Ordinaria</w:t>
      </w:r>
      <w:r w:rsidRPr="004928E6">
        <w:rPr>
          <w:rFonts w:cs="Times New Roman"/>
          <w:b/>
          <w:color w:val="595959" w:themeColor="text1" w:themeTint="A6"/>
          <w:sz w:val="24"/>
          <w:szCs w:val="24"/>
        </w:rPr>
        <w:t xml:space="preserve"> de la Comisión de </w:t>
      </w:r>
      <w:r w:rsidR="00045DA0">
        <w:rPr>
          <w:rFonts w:cs="Times New Roman"/>
          <w:b/>
          <w:color w:val="595959" w:themeColor="text1" w:themeTint="A6"/>
          <w:sz w:val="24"/>
          <w:szCs w:val="24"/>
        </w:rPr>
        <w:t xml:space="preserve">Mujeres </w:t>
      </w:r>
    </w:p>
    <w:p w:rsidR="000A181B" w:rsidRPr="00D43EA6" w:rsidRDefault="000A181B" w:rsidP="000A181B">
      <w:pPr>
        <w:spacing w:after="0"/>
        <w:rPr>
          <w:rFonts w:cs="Times New Roman"/>
          <w:b/>
          <w:szCs w:val="24"/>
        </w:rPr>
      </w:pPr>
    </w:p>
    <w:p w:rsidR="00E1024B" w:rsidRDefault="00E1024B" w:rsidP="00E1024B">
      <w:pPr>
        <w:spacing w:after="0" w:line="480" w:lineRule="auto"/>
        <w:rPr>
          <w:rFonts w:cs="Times New Roman"/>
          <w:b/>
          <w:szCs w:val="24"/>
          <w:shd w:val="clear" w:color="auto" w:fill="FFFFFF"/>
        </w:rPr>
      </w:pPr>
    </w:p>
    <w:p w:rsidR="000A181B" w:rsidRPr="00D43EA6" w:rsidRDefault="000A181B" w:rsidP="00E1024B">
      <w:pPr>
        <w:spacing w:after="0" w:line="480" w:lineRule="auto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 xml:space="preserve">Fecha.- </w:t>
      </w:r>
      <w:r w:rsidR="00045DA0">
        <w:rPr>
          <w:rFonts w:cs="Times New Roman"/>
          <w:b/>
          <w:szCs w:val="24"/>
          <w:shd w:val="clear" w:color="auto" w:fill="FFFFFF"/>
        </w:rPr>
        <w:t>miércoles 30</w:t>
      </w:r>
      <w:r w:rsidR="00867391" w:rsidRPr="00D43EA6">
        <w:rPr>
          <w:rFonts w:cs="Times New Roman"/>
          <w:b/>
          <w:szCs w:val="24"/>
          <w:shd w:val="clear" w:color="auto" w:fill="FFFFFF"/>
        </w:rPr>
        <w:t xml:space="preserve"> de </w:t>
      </w:r>
      <w:r w:rsidR="0037496D" w:rsidRPr="00D43EA6">
        <w:rPr>
          <w:rFonts w:cs="Times New Roman"/>
          <w:b/>
          <w:szCs w:val="24"/>
          <w:shd w:val="clear" w:color="auto" w:fill="FFFFFF"/>
        </w:rPr>
        <w:t>octubre</w:t>
      </w:r>
      <w:r w:rsidRPr="00D43EA6">
        <w:rPr>
          <w:rFonts w:cs="Times New Roman"/>
          <w:b/>
          <w:szCs w:val="24"/>
          <w:shd w:val="clear" w:color="auto" w:fill="FFFFFF"/>
        </w:rPr>
        <w:t xml:space="preserve"> de 2018</w:t>
      </w:r>
    </w:p>
    <w:p w:rsidR="000A181B" w:rsidRPr="00D43EA6" w:rsidRDefault="000A181B" w:rsidP="00E1024B">
      <w:pPr>
        <w:spacing w:after="0" w:line="480" w:lineRule="auto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 xml:space="preserve">Hora.- </w:t>
      </w:r>
      <w:r w:rsidR="0037496D" w:rsidRPr="00D43EA6">
        <w:rPr>
          <w:rFonts w:cs="Times New Roman"/>
          <w:szCs w:val="24"/>
          <w:shd w:val="clear" w:color="auto" w:fill="FFFFFF"/>
        </w:rPr>
        <w:t xml:space="preserve">12:00 </w:t>
      </w:r>
      <w:proofErr w:type="spellStart"/>
      <w:r w:rsidR="0037496D" w:rsidRPr="00D43EA6">
        <w:rPr>
          <w:rFonts w:cs="Times New Roman"/>
          <w:szCs w:val="24"/>
          <w:shd w:val="clear" w:color="auto" w:fill="FFFFFF"/>
        </w:rPr>
        <w:t>hrs</w:t>
      </w:r>
      <w:proofErr w:type="spellEnd"/>
      <w:r w:rsidR="0037496D" w:rsidRPr="00D43EA6">
        <w:rPr>
          <w:rFonts w:cs="Times New Roman"/>
          <w:szCs w:val="24"/>
          <w:shd w:val="clear" w:color="auto" w:fill="FFFFFF"/>
        </w:rPr>
        <w:t xml:space="preserve"> a 14</w:t>
      </w:r>
      <w:r w:rsidRPr="00D43EA6">
        <w:rPr>
          <w:rFonts w:cs="Times New Roman"/>
          <w:szCs w:val="24"/>
          <w:shd w:val="clear" w:color="auto" w:fill="FFFFFF"/>
        </w:rPr>
        <w:t xml:space="preserve">:00 </w:t>
      </w:r>
      <w:proofErr w:type="spellStart"/>
      <w:r w:rsidRPr="00D43EA6">
        <w:rPr>
          <w:rFonts w:cs="Times New Roman"/>
          <w:szCs w:val="24"/>
          <w:shd w:val="clear" w:color="auto" w:fill="FFFFFF"/>
        </w:rPr>
        <w:t>hrs</w:t>
      </w:r>
      <w:proofErr w:type="spellEnd"/>
      <w:r w:rsidRPr="00D43EA6">
        <w:rPr>
          <w:rFonts w:cs="Times New Roman"/>
          <w:szCs w:val="24"/>
          <w:shd w:val="clear" w:color="auto" w:fill="FFFFFF"/>
        </w:rPr>
        <w:t>.</w:t>
      </w:r>
    </w:p>
    <w:p w:rsidR="000A181B" w:rsidRPr="00D43EA6" w:rsidRDefault="000A181B" w:rsidP="00E1024B">
      <w:pPr>
        <w:spacing w:after="0" w:line="480" w:lineRule="auto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 xml:space="preserve">Lugar.- </w:t>
      </w:r>
      <w:r w:rsidRPr="00D43EA6">
        <w:rPr>
          <w:rFonts w:cs="Times New Roman"/>
          <w:szCs w:val="24"/>
          <w:shd w:val="clear" w:color="auto" w:fill="FFFFFF"/>
        </w:rPr>
        <w:t>Sala de</w:t>
      </w:r>
      <w:r w:rsidR="00867391" w:rsidRPr="00D43EA6">
        <w:rPr>
          <w:rFonts w:cs="Times New Roman"/>
          <w:szCs w:val="24"/>
          <w:shd w:val="clear" w:color="auto" w:fill="FFFFFF"/>
        </w:rPr>
        <w:t xml:space="preserve"> Juntas </w:t>
      </w:r>
      <w:r w:rsidR="00E1024B">
        <w:rPr>
          <w:rFonts w:cs="Times New Roman"/>
          <w:szCs w:val="24"/>
          <w:shd w:val="clear" w:color="auto" w:fill="FFFFFF"/>
        </w:rPr>
        <w:t>CODESO, SEDESOE</w:t>
      </w:r>
    </w:p>
    <w:p w:rsidR="000A181B" w:rsidRPr="00D43EA6" w:rsidRDefault="000A181B" w:rsidP="000A181B">
      <w:pPr>
        <w:spacing w:after="0"/>
        <w:rPr>
          <w:rFonts w:cs="Times New Roman"/>
          <w:b/>
          <w:szCs w:val="24"/>
          <w:shd w:val="clear" w:color="auto" w:fill="FFFFFF"/>
        </w:rPr>
      </w:pPr>
    </w:p>
    <w:p w:rsidR="000A181B" w:rsidRPr="00D43EA6" w:rsidRDefault="000A181B" w:rsidP="000A181B">
      <w:pPr>
        <w:spacing w:after="0"/>
        <w:rPr>
          <w:rFonts w:cs="Times New Roman"/>
          <w:b/>
          <w:szCs w:val="24"/>
          <w:shd w:val="clear" w:color="auto" w:fill="FFFFFF"/>
        </w:rPr>
      </w:pPr>
      <w:r w:rsidRPr="00D43EA6">
        <w:rPr>
          <w:rFonts w:cs="Times New Roman"/>
          <w:b/>
          <w:szCs w:val="24"/>
          <w:shd w:val="clear" w:color="auto" w:fill="FFFFFF"/>
        </w:rPr>
        <w:t>Participantes:</w:t>
      </w:r>
    </w:p>
    <w:p w:rsidR="00AD04B1" w:rsidRDefault="00045DA0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Luz Nieto </w:t>
      </w:r>
      <w:r w:rsidR="004C7DD6">
        <w:rPr>
          <w:rFonts w:cs="Times New Roman"/>
          <w:b/>
          <w:szCs w:val="24"/>
          <w:shd w:val="clear" w:color="auto" w:fill="FFFFFF"/>
        </w:rPr>
        <w:t xml:space="preserve">Domínguez – Agenda de Mujeres de Nuevo Casas Grandes </w:t>
      </w:r>
    </w:p>
    <w:p w:rsidR="004C7DD6" w:rsidRDefault="004C7DD6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Rosa </w:t>
      </w:r>
      <w:proofErr w:type="spellStart"/>
      <w:r>
        <w:rPr>
          <w:rFonts w:cs="Times New Roman"/>
          <w:b/>
          <w:szCs w:val="24"/>
          <w:shd w:val="clear" w:color="auto" w:fill="FFFFFF"/>
        </w:rPr>
        <w:t>Icela</w:t>
      </w:r>
      <w:proofErr w:type="spellEnd"/>
      <w:r>
        <w:rPr>
          <w:rFonts w:cs="Times New Roman"/>
          <w:b/>
          <w:szCs w:val="24"/>
          <w:shd w:val="clear" w:color="auto" w:fill="FFFFFF"/>
        </w:rPr>
        <w:t xml:space="preserve"> Ojeda – EAHNM </w:t>
      </w:r>
    </w:p>
    <w:p w:rsidR="004C7DD6" w:rsidRPr="00D43EA6" w:rsidRDefault="004C7DD6" w:rsidP="00E1024B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Martha González R. – CAMT </w:t>
      </w:r>
    </w:p>
    <w:p w:rsidR="000A181B" w:rsidRPr="004928E6" w:rsidRDefault="000A181B" w:rsidP="00D43EA6">
      <w:pPr>
        <w:spacing w:after="0"/>
        <w:jc w:val="both"/>
        <w:rPr>
          <w:rFonts w:cs="Times New Roman"/>
          <w:b/>
          <w:sz w:val="24"/>
          <w:szCs w:val="24"/>
          <w:shd w:val="clear" w:color="auto" w:fill="FFFFFF"/>
        </w:rPr>
      </w:pPr>
    </w:p>
    <w:p w:rsidR="004C7DD6" w:rsidRDefault="004C7DD6" w:rsidP="004C7DD6">
      <w:pPr>
        <w:pStyle w:val="Ttulo1"/>
        <w:numPr>
          <w:ilvl w:val="0"/>
          <w:numId w:val="31"/>
        </w:numPr>
        <w:spacing w:before="0" w:after="240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lastRenderedPageBreak/>
        <w:t>Puntos Tratados</w:t>
      </w:r>
    </w:p>
    <w:p w:rsidR="004C7DD6" w:rsidRDefault="004C7DD6" w:rsidP="004C7DD6">
      <w:pPr>
        <w:pStyle w:val="Prrafodelista"/>
        <w:numPr>
          <w:ilvl w:val="1"/>
          <w:numId w:val="31"/>
        </w:numPr>
        <w:jc w:val="both"/>
      </w:pPr>
      <w:r w:rsidRPr="004C7DD6">
        <w:rPr>
          <w:b/>
          <w:bCs/>
        </w:rPr>
        <w:t>Seguimiento</w:t>
      </w:r>
      <w:r w:rsidR="00B315BA">
        <w:rPr>
          <w:b/>
          <w:bCs/>
        </w:rPr>
        <w:t xml:space="preserve"> a Acuerdos</w:t>
      </w:r>
      <w:r w:rsidRPr="004C7DD6">
        <w:rPr>
          <w:b/>
          <w:bCs/>
        </w:rPr>
        <w:t xml:space="preserve">.- </w:t>
      </w:r>
      <w:r w:rsidRPr="004C7DD6">
        <w:t>Se hizo un recuento del diálogo de la</w:t>
      </w:r>
      <w:r>
        <w:t xml:space="preserve"> última</w:t>
      </w:r>
      <w:r w:rsidRPr="004C7DD6">
        <w:t xml:space="preserve"> reunión de la comisión, y se determinó que se daría seguimiento a la Planeación Estratégica de la comisión al mediano plazo en esta reunión. </w:t>
      </w:r>
    </w:p>
    <w:p w:rsidR="00B315BA" w:rsidRPr="00B315BA" w:rsidRDefault="00B315BA" w:rsidP="00B315BA">
      <w:pPr>
        <w:pStyle w:val="Prrafodelista"/>
        <w:numPr>
          <w:ilvl w:val="2"/>
          <w:numId w:val="31"/>
        </w:numPr>
        <w:jc w:val="both"/>
      </w:pPr>
      <w:r>
        <w:rPr>
          <w:b/>
          <w:bCs/>
        </w:rPr>
        <w:t>Capacitación a las OSCs que conforman el CODESO en perspectiva de género.</w:t>
      </w:r>
      <w:r>
        <w:t xml:space="preserve"> </w:t>
      </w:r>
      <w:r w:rsidRPr="00B315BA">
        <w:t>Uno de los acuerdos que se retomaron</w:t>
      </w:r>
      <w:r w:rsidR="00ED4A6A">
        <w:t xml:space="preserve"> por la comisión</w:t>
      </w:r>
      <w:r w:rsidRPr="00B315BA">
        <w:t xml:space="preserve"> </w:t>
      </w:r>
      <w:r w:rsidR="00ED4A6A">
        <w:t>es la implementación de una</w:t>
      </w:r>
      <w:r w:rsidRPr="00B315BA">
        <w:t xml:space="preserve"> capacitación general al CODESOyPC en materia de derechos humanos y género. </w:t>
      </w:r>
      <w:r>
        <w:t>Se determinó</w:t>
      </w:r>
      <w:r w:rsidR="00ED4A6A">
        <w:t xml:space="preserve"> que, para su mayor impacto, </w:t>
      </w:r>
      <w:r>
        <w:t xml:space="preserve">dicha capacitación se enmarcara en la próxima asamblea general del CODESOyPC en marzo del 2019. </w:t>
      </w:r>
    </w:p>
    <w:p w:rsidR="004C7DD6" w:rsidRPr="00B315BA" w:rsidRDefault="004C7DD6" w:rsidP="004C7DD6">
      <w:pPr>
        <w:pStyle w:val="Prrafodelista"/>
        <w:numPr>
          <w:ilvl w:val="2"/>
          <w:numId w:val="31"/>
        </w:numPr>
        <w:jc w:val="both"/>
      </w:pPr>
      <w:r w:rsidRPr="004C7DD6">
        <w:rPr>
          <w:b/>
          <w:bCs/>
        </w:rPr>
        <w:t>Áreas de Oportunidad</w:t>
      </w:r>
      <w:r w:rsidR="00ED4A6A">
        <w:rPr>
          <w:b/>
          <w:bCs/>
        </w:rPr>
        <w:t xml:space="preserve"> de la Comisión</w:t>
      </w:r>
      <w:r w:rsidRPr="004C7DD6">
        <w:rPr>
          <w:b/>
          <w:bCs/>
        </w:rPr>
        <w:t>.-</w:t>
      </w:r>
      <w:r>
        <w:rPr>
          <w:bCs/>
        </w:rPr>
        <w:t xml:space="preserve"> </w:t>
      </w:r>
      <w:r w:rsidRPr="004C7DD6">
        <w:rPr>
          <w:bCs/>
        </w:rPr>
        <w:t xml:space="preserve">Se determinó también por la comisión la importancia de </w:t>
      </w:r>
      <w:r>
        <w:rPr>
          <w:bCs/>
        </w:rPr>
        <w:t xml:space="preserve">utilizar espacios virtuales y presenciales para la participación en la comisión y que </w:t>
      </w:r>
      <w:r w:rsidR="00ED1C24">
        <w:rPr>
          <w:bCs/>
        </w:rPr>
        <w:t xml:space="preserve">se revisara la propuesta de reglamento del CODESOyPC en todas las comisiones. </w:t>
      </w:r>
    </w:p>
    <w:p w:rsidR="00B315BA" w:rsidRPr="004C7DD6" w:rsidRDefault="00B315BA" w:rsidP="00B315BA">
      <w:pPr>
        <w:pStyle w:val="Prrafodelista"/>
        <w:ind w:left="1224"/>
        <w:jc w:val="both"/>
      </w:pPr>
    </w:p>
    <w:p w:rsidR="004C7DD6" w:rsidRPr="004816CE" w:rsidRDefault="004C7DD6" w:rsidP="004816CE">
      <w:pPr>
        <w:pStyle w:val="Prrafodelista"/>
        <w:numPr>
          <w:ilvl w:val="1"/>
          <w:numId w:val="31"/>
        </w:numPr>
        <w:spacing w:before="240"/>
        <w:jc w:val="both"/>
      </w:pPr>
      <w:r w:rsidRPr="004C7DD6">
        <w:rPr>
          <w:b/>
          <w:bCs/>
        </w:rPr>
        <w:t>Planeación Estratégica de la comisión.-</w:t>
      </w:r>
      <w:r>
        <w:rPr>
          <w:b/>
          <w:bCs/>
        </w:rPr>
        <w:t xml:space="preserve"> </w:t>
      </w:r>
      <w:r w:rsidRPr="004C7DD6">
        <w:rPr>
          <w:bCs/>
        </w:rPr>
        <w:t>Durante el dialogo participativo que se llevó entre las personas asistentes a la reunión de la comisión se buscaron determinar</w:t>
      </w:r>
      <w:r>
        <w:rPr>
          <w:bCs/>
        </w:rPr>
        <w:t xml:space="preserve"> cuáles serán los ejes estratégicos</w:t>
      </w:r>
      <w:r w:rsidR="00ED4A6A">
        <w:rPr>
          <w:bCs/>
        </w:rPr>
        <w:t xml:space="preserve"> de acción</w:t>
      </w:r>
      <w:r>
        <w:rPr>
          <w:bCs/>
        </w:rPr>
        <w:t xml:space="preserve"> </w:t>
      </w:r>
      <w:r w:rsidR="00ED1C24">
        <w:rPr>
          <w:bCs/>
        </w:rPr>
        <w:t>para ejercer las atribuciones de las consejeras</w:t>
      </w:r>
      <w:r w:rsidR="00ED4A6A">
        <w:rPr>
          <w:bCs/>
        </w:rPr>
        <w:t xml:space="preserve"> dentro de la comisión</w:t>
      </w:r>
      <w:r w:rsidR="00ED1C24">
        <w:rPr>
          <w:bCs/>
        </w:rPr>
        <w:t xml:space="preserve">. </w:t>
      </w:r>
    </w:p>
    <w:p w:rsidR="004816CE" w:rsidRPr="00ED1C24" w:rsidRDefault="004816CE" w:rsidP="004816CE">
      <w:pPr>
        <w:pStyle w:val="Prrafodelista"/>
        <w:spacing w:before="240"/>
        <w:ind w:left="792"/>
        <w:jc w:val="both"/>
      </w:pPr>
    </w:p>
    <w:p w:rsidR="00ED1C24" w:rsidRPr="00B315BA" w:rsidRDefault="00ED1C24" w:rsidP="00ED1C24">
      <w:pPr>
        <w:pStyle w:val="Prrafodelista"/>
        <w:numPr>
          <w:ilvl w:val="2"/>
          <w:numId w:val="31"/>
        </w:numPr>
        <w:jc w:val="both"/>
      </w:pPr>
      <w:r>
        <w:rPr>
          <w:b/>
          <w:bCs/>
        </w:rPr>
        <w:t xml:space="preserve">Análisis de </w:t>
      </w:r>
      <w:r w:rsidR="00B315BA">
        <w:rPr>
          <w:b/>
          <w:bCs/>
        </w:rPr>
        <w:t>Reglas de Operación con perspectiva de genero</w:t>
      </w:r>
    </w:p>
    <w:p w:rsidR="00B315BA" w:rsidRPr="004816CE" w:rsidRDefault="00B315BA" w:rsidP="00B315BA">
      <w:pPr>
        <w:pStyle w:val="Prrafodelista"/>
        <w:numPr>
          <w:ilvl w:val="3"/>
          <w:numId w:val="31"/>
        </w:numPr>
        <w:jc w:val="both"/>
      </w:pPr>
      <w:r w:rsidRPr="00B315BA">
        <w:rPr>
          <w:b/>
          <w:bCs/>
        </w:rPr>
        <w:t>Enfoque</w:t>
      </w:r>
      <w:r>
        <w:rPr>
          <w:b/>
          <w:bCs/>
        </w:rPr>
        <w:t xml:space="preserve"> de contraloría social</w:t>
      </w:r>
      <w:r w:rsidRPr="00B315BA">
        <w:rPr>
          <w:b/>
          <w:bCs/>
        </w:rPr>
        <w:t xml:space="preserve">: </w:t>
      </w:r>
      <w:r w:rsidR="00ED4A6A">
        <w:rPr>
          <w:bCs/>
        </w:rPr>
        <w:t>A</w:t>
      </w:r>
      <w:r w:rsidR="00ED4A6A" w:rsidRPr="00ED4A6A">
        <w:rPr>
          <w:bCs/>
        </w:rPr>
        <w:t xml:space="preserve">nálisis de las reglas de operación de todos aquellos </w:t>
      </w:r>
      <w:r w:rsidRPr="00ED4A6A">
        <w:rPr>
          <w:bCs/>
        </w:rPr>
        <w:t xml:space="preserve">programas que históricamente han sido </w:t>
      </w:r>
      <w:r w:rsidR="00ED4A6A" w:rsidRPr="00ED4A6A">
        <w:rPr>
          <w:bCs/>
        </w:rPr>
        <w:t>excluyentes</w:t>
      </w:r>
      <w:r w:rsidRPr="00ED4A6A">
        <w:rPr>
          <w:bCs/>
        </w:rPr>
        <w:t xml:space="preserve"> de las mujeres como sujetas de derechos</w:t>
      </w:r>
      <w:r w:rsidR="00ED4A6A" w:rsidRPr="00ED4A6A">
        <w:rPr>
          <w:bCs/>
        </w:rPr>
        <w:t xml:space="preserve"> o que se consideren</w:t>
      </w:r>
      <w:r w:rsidR="00ED4A6A">
        <w:rPr>
          <w:bCs/>
        </w:rPr>
        <w:t xml:space="preserve"> en déficit de perspectiva de género</w:t>
      </w:r>
      <w:r w:rsidRPr="00B315BA">
        <w:rPr>
          <w:bCs/>
        </w:rPr>
        <w:t>. Por ejemplo, programas de inclusión productiva, desarrollo rural,</w:t>
      </w:r>
      <w:r>
        <w:rPr>
          <w:bCs/>
        </w:rPr>
        <w:t xml:space="preserve"> fomento laboral y otras que la comisión identifique como prioritarias. </w:t>
      </w:r>
      <w:r w:rsidR="00DA6FC2" w:rsidRPr="00DA6FC2">
        <w:rPr>
          <w:bCs/>
        </w:rPr>
        <w:t>Para análisis de la Comisión,</w:t>
      </w:r>
      <w:r w:rsidR="00DA6FC2">
        <w:rPr>
          <w:bCs/>
        </w:rPr>
        <w:t xml:space="preserve"> se buscará </w:t>
      </w:r>
      <w:r w:rsidR="00DA6FC2" w:rsidRPr="00DA6FC2">
        <w:rPr>
          <w:bCs/>
        </w:rPr>
        <w:t>conocer dichos programas y acciones, específicamente sus Reglas de Operación para el año 2019, con la intención de emitir recomendaciones de ser necesario.</w:t>
      </w:r>
      <w:bookmarkStart w:id="0" w:name="_GoBack"/>
      <w:bookmarkEnd w:id="0"/>
    </w:p>
    <w:p w:rsidR="004816CE" w:rsidRPr="00B315BA" w:rsidRDefault="004816CE" w:rsidP="004816CE">
      <w:pPr>
        <w:pStyle w:val="Prrafodelista"/>
        <w:ind w:left="1728"/>
        <w:jc w:val="both"/>
      </w:pPr>
    </w:p>
    <w:p w:rsidR="00B315BA" w:rsidRDefault="00ED4A6A" w:rsidP="00B315BA">
      <w:pPr>
        <w:pStyle w:val="Prrafodelista"/>
        <w:numPr>
          <w:ilvl w:val="2"/>
          <w:numId w:val="31"/>
        </w:numPr>
        <w:jc w:val="both"/>
        <w:rPr>
          <w:b/>
        </w:rPr>
      </w:pPr>
      <w:r w:rsidRPr="00ED4A6A">
        <w:rPr>
          <w:b/>
        </w:rPr>
        <w:t>Presupuesto Etiquetado a Sujetas Prioritarias /Presupuesto con Perspectiva de Género</w:t>
      </w:r>
    </w:p>
    <w:p w:rsidR="00ED4A6A" w:rsidRPr="004816CE" w:rsidRDefault="00ED4A6A" w:rsidP="00ED4A6A">
      <w:pPr>
        <w:pStyle w:val="Prrafodelista"/>
        <w:numPr>
          <w:ilvl w:val="3"/>
          <w:numId w:val="31"/>
        </w:numPr>
        <w:jc w:val="both"/>
        <w:rPr>
          <w:b/>
        </w:rPr>
      </w:pPr>
      <w:r w:rsidRPr="00B315BA">
        <w:rPr>
          <w:b/>
          <w:bCs/>
        </w:rPr>
        <w:t>Enfoque</w:t>
      </w:r>
      <w:r>
        <w:rPr>
          <w:b/>
          <w:bCs/>
        </w:rPr>
        <w:t xml:space="preserve"> de contraloría social</w:t>
      </w:r>
      <w:r w:rsidRPr="00B315BA">
        <w:rPr>
          <w:b/>
          <w:bCs/>
        </w:rPr>
        <w:t>:</w:t>
      </w:r>
      <w:r>
        <w:rPr>
          <w:b/>
          <w:bCs/>
        </w:rPr>
        <w:t xml:space="preserve"> </w:t>
      </w:r>
      <w:r w:rsidRPr="00ED4A6A">
        <w:rPr>
          <w:bCs/>
        </w:rPr>
        <w:t>Análisis</w:t>
      </w:r>
      <w:r>
        <w:rPr>
          <w:bCs/>
        </w:rPr>
        <w:t xml:space="preserve"> del presupuesto de desarrollo social ejercido en las mujeres, identificación de tendencias y elaboración de sugerencias para etiquetar presupuesto para aquellas sujetas de derechos prioritarias. </w:t>
      </w:r>
      <w:r w:rsidR="00DA6FC2" w:rsidRPr="00DA6FC2">
        <w:rPr>
          <w:bCs/>
        </w:rPr>
        <w:t xml:space="preserve">Para análisis de la Comisión, se buscara conocer </w:t>
      </w:r>
      <w:r w:rsidR="00DA6FC2">
        <w:rPr>
          <w:bCs/>
        </w:rPr>
        <w:t xml:space="preserve">el catálogo de programas con enfoque social determinado por la SHCP, así como el desglose por género de su población potencial. </w:t>
      </w:r>
    </w:p>
    <w:p w:rsidR="004816CE" w:rsidRPr="00ED4A6A" w:rsidRDefault="004816CE" w:rsidP="004816CE">
      <w:pPr>
        <w:pStyle w:val="Prrafodelista"/>
        <w:ind w:left="1728"/>
        <w:jc w:val="both"/>
        <w:rPr>
          <w:b/>
        </w:rPr>
      </w:pPr>
    </w:p>
    <w:p w:rsidR="00ED4A6A" w:rsidRPr="00ED4A6A" w:rsidRDefault="00ED4A6A" w:rsidP="00ED4A6A">
      <w:pPr>
        <w:pStyle w:val="Prrafodelista"/>
        <w:numPr>
          <w:ilvl w:val="2"/>
          <w:numId w:val="31"/>
        </w:numPr>
        <w:jc w:val="both"/>
        <w:rPr>
          <w:b/>
        </w:rPr>
      </w:pPr>
      <w:r>
        <w:rPr>
          <w:b/>
          <w:bCs/>
        </w:rPr>
        <w:t xml:space="preserve">Fortalecimiento de la política de desarrollo social de las mujeres en las administraciones municipales. </w:t>
      </w:r>
    </w:p>
    <w:p w:rsidR="004C7DD6" w:rsidRPr="004816CE" w:rsidRDefault="00ED4A6A" w:rsidP="004816CE">
      <w:pPr>
        <w:pStyle w:val="Prrafodelista"/>
        <w:numPr>
          <w:ilvl w:val="3"/>
          <w:numId w:val="31"/>
        </w:numPr>
        <w:jc w:val="both"/>
      </w:pPr>
      <w:r>
        <w:rPr>
          <w:b/>
          <w:bCs/>
        </w:rPr>
        <w:t xml:space="preserve">Enfoque de contraloría social: </w:t>
      </w:r>
      <w:r w:rsidR="004816CE" w:rsidRPr="004816CE">
        <w:rPr>
          <w:bCs/>
        </w:rPr>
        <w:t xml:space="preserve">Análisis de las acciones de </w:t>
      </w:r>
      <w:r w:rsidR="004816CE">
        <w:rPr>
          <w:bCs/>
        </w:rPr>
        <w:t>la Secretaria de Desarrollo Municipal (SDM) en el fortalecimiento de las instancias municipales de atención y de promoción de los derechos de las mujeres. Así como el análisis de la distribución de las acciones de la política social orientadas a mujeres en los municipios fuera de las zonas metropolitanas.</w:t>
      </w:r>
    </w:p>
    <w:p w:rsidR="004816CE" w:rsidRPr="004816CE" w:rsidRDefault="004816CE" w:rsidP="004816CE">
      <w:pPr>
        <w:pStyle w:val="Prrafodelista"/>
        <w:ind w:left="1728"/>
        <w:jc w:val="both"/>
      </w:pPr>
    </w:p>
    <w:p w:rsidR="004816CE" w:rsidRPr="004816CE" w:rsidRDefault="004816CE" w:rsidP="004816CE">
      <w:pPr>
        <w:pStyle w:val="Prrafodelista"/>
        <w:numPr>
          <w:ilvl w:val="2"/>
          <w:numId w:val="31"/>
        </w:numPr>
        <w:jc w:val="both"/>
      </w:pPr>
      <w:r>
        <w:rPr>
          <w:b/>
          <w:bCs/>
        </w:rPr>
        <w:t>Comités y Consejos Ciudadanos Paritarios</w:t>
      </w:r>
    </w:p>
    <w:p w:rsidR="004816CE" w:rsidRPr="004C7DD6" w:rsidRDefault="004816CE" w:rsidP="004816CE">
      <w:pPr>
        <w:pStyle w:val="Prrafodelista"/>
        <w:numPr>
          <w:ilvl w:val="3"/>
          <w:numId w:val="31"/>
        </w:numPr>
        <w:jc w:val="both"/>
      </w:pPr>
      <w:r>
        <w:rPr>
          <w:b/>
          <w:bCs/>
        </w:rPr>
        <w:t>Enfoque de contraloría social:</w:t>
      </w:r>
      <w:r>
        <w:rPr>
          <w:b/>
          <w:bCs/>
        </w:rPr>
        <w:t xml:space="preserve"> </w:t>
      </w:r>
      <w:r w:rsidRPr="004816CE">
        <w:rPr>
          <w:bCs/>
        </w:rPr>
        <w:t>Análisis</w:t>
      </w:r>
      <w:r>
        <w:rPr>
          <w:bCs/>
        </w:rPr>
        <w:t xml:space="preserve"> desde la perspectiva de género</w:t>
      </w:r>
      <w:r w:rsidRPr="004816CE">
        <w:rPr>
          <w:bCs/>
        </w:rPr>
        <w:t xml:space="preserve"> de</w:t>
      </w:r>
      <w:r>
        <w:rPr>
          <w:bCs/>
        </w:rPr>
        <w:t xml:space="preserve"> los lineamientos e instauración de los comités y consejos ciudadanos y colegiados que se instalan por</w:t>
      </w:r>
      <w:r w:rsidR="00DA6FC2">
        <w:rPr>
          <w:bCs/>
        </w:rPr>
        <w:t xml:space="preserve"> cualquier instancia de</w:t>
      </w:r>
      <w:r>
        <w:rPr>
          <w:bCs/>
        </w:rPr>
        <w:t xml:space="preserve"> gobierno del estado. </w:t>
      </w:r>
    </w:p>
    <w:p w:rsidR="00BE6E80" w:rsidRPr="005E36EE" w:rsidRDefault="000A181B" w:rsidP="00BE6E80">
      <w:pPr>
        <w:spacing w:after="0"/>
        <w:jc w:val="both"/>
        <w:rPr>
          <w:rFonts w:cs="Times New Roman"/>
          <w:b/>
          <w:color w:val="FF0000"/>
          <w:sz w:val="24"/>
          <w:szCs w:val="24"/>
          <w:shd w:val="clear" w:color="auto" w:fill="FFFFFF"/>
        </w:rPr>
      </w:pPr>
      <w:r w:rsidRPr="005E36EE">
        <w:rPr>
          <w:rFonts w:cs="Times New Roman"/>
          <w:b/>
          <w:color w:val="FF0000"/>
          <w:sz w:val="24"/>
          <w:szCs w:val="24"/>
          <w:shd w:val="clear" w:color="auto" w:fill="FFFFFF"/>
        </w:rPr>
        <w:t xml:space="preserve">Acuerdos: </w:t>
      </w:r>
    </w:p>
    <w:p w:rsidR="00BE6E80" w:rsidRPr="00A757BF" w:rsidRDefault="00A757BF" w:rsidP="00BE6E80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El dpto. de Enlace y Política Social de la SEDESOE elaborara borradores de oficios para la procuración de la información solicitada a la comisión de Diversidad del CODESOyPC, se elaboraran oficios para las siguientes instancias públicas en materia de su política social orientada a personas de la población LGBTTTI: SS, STPS, SEDESOE, CEDH, SEECH</w:t>
      </w:r>
      <w:r w:rsidR="005E36EE">
        <w:rPr>
          <w:rFonts w:cs="Times New Roman"/>
          <w:szCs w:val="24"/>
          <w:shd w:val="clear" w:color="auto" w:fill="FFFFFF"/>
        </w:rPr>
        <w:t xml:space="preserve"> y</w:t>
      </w:r>
      <w:r>
        <w:rPr>
          <w:rFonts w:cs="Times New Roman"/>
          <w:szCs w:val="24"/>
          <w:shd w:val="clear" w:color="auto" w:fill="FFFFFF"/>
        </w:rPr>
        <w:t xml:space="preserve"> FGE. </w:t>
      </w:r>
    </w:p>
    <w:p w:rsidR="00A13269" w:rsidRDefault="00BE6E80" w:rsidP="00BE6E80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b/>
          <w:szCs w:val="24"/>
          <w:shd w:val="clear" w:color="auto" w:fill="FFFFFF"/>
        </w:rPr>
      </w:pPr>
      <w:r w:rsidRPr="00A757BF">
        <w:rPr>
          <w:rFonts w:cs="Times New Roman"/>
          <w:b/>
          <w:szCs w:val="24"/>
          <w:shd w:val="clear" w:color="auto" w:fill="FFFFFF"/>
        </w:rPr>
        <w:lastRenderedPageBreak/>
        <w:t xml:space="preserve">Las </w:t>
      </w:r>
      <w:r w:rsidR="00A757BF">
        <w:rPr>
          <w:rFonts w:cs="Times New Roman"/>
          <w:b/>
          <w:szCs w:val="24"/>
          <w:shd w:val="clear" w:color="auto" w:fill="FFFFFF"/>
        </w:rPr>
        <w:t>OSCs</w:t>
      </w:r>
      <w:r w:rsidRPr="00A757BF">
        <w:rPr>
          <w:rFonts w:cs="Times New Roman"/>
          <w:b/>
          <w:szCs w:val="24"/>
          <w:shd w:val="clear" w:color="auto" w:fill="FFFFFF"/>
        </w:rPr>
        <w:t xml:space="preserve"> ahondaran en la investigación respecto a los ejes delimitados como estratégicos.</w:t>
      </w:r>
      <w:r w:rsidR="00A757BF">
        <w:rPr>
          <w:rFonts w:cs="Times New Roman"/>
          <w:b/>
          <w:szCs w:val="24"/>
          <w:shd w:val="clear" w:color="auto" w:fill="FFFFFF"/>
        </w:rPr>
        <w:t xml:space="preserve"> Y delimitaran porque cada eje es fundamental para el desarrollo social de las personas transexuales. </w:t>
      </w:r>
    </w:p>
    <w:p w:rsidR="00BE6E80" w:rsidRPr="00A757BF" w:rsidRDefault="00BE6E80" w:rsidP="00BE6E80">
      <w:pPr>
        <w:pStyle w:val="Prrafodelista"/>
        <w:numPr>
          <w:ilvl w:val="0"/>
          <w:numId w:val="8"/>
        </w:numPr>
        <w:spacing w:after="0"/>
        <w:jc w:val="both"/>
        <w:rPr>
          <w:rFonts w:cs="Times New Roman"/>
          <w:szCs w:val="24"/>
          <w:shd w:val="clear" w:color="auto" w:fill="FFFFFF"/>
        </w:rPr>
      </w:pPr>
      <w:r w:rsidRPr="00A757BF">
        <w:rPr>
          <w:rFonts w:cs="Times New Roman"/>
          <w:szCs w:val="24"/>
          <w:shd w:val="clear" w:color="auto" w:fill="FFFFFF"/>
        </w:rPr>
        <w:t>Se convocará a una última sesión ordinaria de la Comisión</w:t>
      </w:r>
      <w:r w:rsidR="00A757BF">
        <w:rPr>
          <w:rFonts w:cs="Times New Roman"/>
          <w:szCs w:val="24"/>
          <w:shd w:val="clear" w:color="auto" w:fill="FFFFFF"/>
        </w:rPr>
        <w:t xml:space="preserve"> de este año</w:t>
      </w:r>
      <w:r w:rsidRPr="00A757BF">
        <w:rPr>
          <w:rFonts w:cs="Times New Roman"/>
          <w:szCs w:val="24"/>
          <w:shd w:val="clear" w:color="auto" w:fill="FFFFFF"/>
        </w:rPr>
        <w:t xml:space="preserve">, el día </w:t>
      </w:r>
      <w:r w:rsidR="00A757BF">
        <w:rPr>
          <w:rFonts w:cs="Times New Roman"/>
          <w:szCs w:val="24"/>
          <w:shd w:val="clear" w:color="auto" w:fill="FFFFFF"/>
        </w:rPr>
        <w:t>03</w:t>
      </w:r>
      <w:r w:rsidRPr="00A757BF">
        <w:rPr>
          <w:rFonts w:cs="Times New Roman"/>
          <w:szCs w:val="24"/>
          <w:shd w:val="clear" w:color="auto" w:fill="FFFFFF"/>
        </w:rPr>
        <w:t xml:space="preserve"> de </w:t>
      </w:r>
      <w:r w:rsidR="00A757BF">
        <w:rPr>
          <w:rFonts w:cs="Times New Roman"/>
          <w:szCs w:val="24"/>
          <w:shd w:val="clear" w:color="auto" w:fill="FFFFFF"/>
        </w:rPr>
        <w:t>diciembre</w:t>
      </w:r>
      <w:r w:rsidRPr="00A757BF">
        <w:rPr>
          <w:rFonts w:cs="Times New Roman"/>
          <w:szCs w:val="24"/>
          <w:shd w:val="clear" w:color="auto" w:fill="FFFFFF"/>
        </w:rPr>
        <w:t xml:space="preserve"> del presente año, </w:t>
      </w:r>
      <w:r w:rsidR="00A757BF">
        <w:rPr>
          <w:rFonts w:cs="Times New Roman"/>
          <w:szCs w:val="24"/>
          <w:shd w:val="clear" w:color="auto" w:fill="FFFFFF"/>
        </w:rPr>
        <w:t xml:space="preserve">dónde se revisará toda la información </w:t>
      </w:r>
      <w:r w:rsidR="005E36EE">
        <w:rPr>
          <w:rFonts w:cs="Times New Roman"/>
          <w:szCs w:val="24"/>
          <w:shd w:val="clear" w:color="auto" w:fill="FFFFFF"/>
        </w:rPr>
        <w:t xml:space="preserve">requerida por la comisión. </w:t>
      </w:r>
    </w:p>
    <w:sectPr w:rsidR="00BE6E80" w:rsidRPr="00A757BF" w:rsidSect="00270325">
      <w:headerReference w:type="default" r:id="rId8"/>
      <w:footerReference w:type="default" r:id="rId9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F2" w:rsidRDefault="004F44F2" w:rsidP="00833CE4">
      <w:pPr>
        <w:spacing w:after="0" w:line="240" w:lineRule="auto"/>
      </w:pPr>
      <w:r>
        <w:separator/>
      </w:r>
    </w:p>
  </w:endnote>
  <w:end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33AB9">
      <w:rPr>
        <w:b/>
        <w:color w:val="595959" w:themeColor="text1" w:themeTint="A6"/>
        <w:sz w:val="18"/>
        <w:szCs w:val="18"/>
      </w:rPr>
      <w:t xml:space="preserve"> 12638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F2" w:rsidRDefault="004F44F2" w:rsidP="00833CE4">
      <w:pPr>
        <w:spacing w:after="0" w:line="240" w:lineRule="auto"/>
      </w:pPr>
      <w:r>
        <w:separator/>
      </w:r>
    </w:p>
  </w:footnote>
  <w:foot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B94FAA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7CCC036A" wp14:editId="39ABE39B">
              <wp:simplePos x="0" y="0"/>
              <wp:positionH relativeFrom="column">
                <wp:posOffset>-1061085</wp:posOffset>
              </wp:positionH>
              <wp:positionV relativeFrom="paragraph">
                <wp:posOffset>-459105</wp:posOffset>
              </wp:positionV>
              <wp:extent cx="7734300" cy="10006311"/>
              <wp:effectExtent l="0" t="0" r="0" b="0"/>
              <wp:wrapNone/>
              <wp:docPr id="2" name="Imagen 2" descr="C:\Users\aolivasg\Desktop\2016-2021\Imagen Amanece para todos\Oficios\veda marz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veda marz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4300" cy="10006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43EA6" w:rsidRDefault="00D43EA6">
        <w:pPr>
          <w:pStyle w:val="Encabezado"/>
          <w:jc w:val="right"/>
        </w:pPr>
      </w:p>
      <w:p w:rsidR="00D43EA6" w:rsidRDefault="00D43EA6">
        <w:pPr>
          <w:pStyle w:val="Encabezado"/>
          <w:jc w:val="right"/>
        </w:pPr>
      </w:p>
      <w:p w:rsidR="003611D9" w:rsidRDefault="00CE64D8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589"/>
    <w:multiLevelType w:val="hybridMultilevel"/>
    <w:tmpl w:val="8EF4D21C"/>
    <w:lvl w:ilvl="0" w:tplc="A564666E">
      <w:start w:val="1"/>
      <w:numFmt w:val="decimal"/>
      <w:lvlText w:val="%1."/>
      <w:lvlJc w:val="left"/>
      <w:pPr>
        <w:ind w:left="156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98" w:hanging="360"/>
      </w:pPr>
    </w:lvl>
    <w:lvl w:ilvl="2" w:tplc="080A001B" w:tentative="1">
      <w:start w:val="1"/>
      <w:numFmt w:val="lowerRoman"/>
      <w:lvlText w:val="%3."/>
      <w:lvlJc w:val="right"/>
      <w:pPr>
        <w:ind w:left="2218" w:hanging="180"/>
      </w:pPr>
    </w:lvl>
    <w:lvl w:ilvl="3" w:tplc="080A000F" w:tentative="1">
      <w:start w:val="1"/>
      <w:numFmt w:val="decimal"/>
      <w:lvlText w:val="%4."/>
      <w:lvlJc w:val="left"/>
      <w:pPr>
        <w:ind w:left="2938" w:hanging="360"/>
      </w:pPr>
    </w:lvl>
    <w:lvl w:ilvl="4" w:tplc="080A0019" w:tentative="1">
      <w:start w:val="1"/>
      <w:numFmt w:val="lowerLetter"/>
      <w:lvlText w:val="%5."/>
      <w:lvlJc w:val="left"/>
      <w:pPr>
        <w:ind w:left="3658" w:hanging="360"/>
      </w:pPr>
    </w:lvl>
    <w:lvl w:ilvl="5" w:tplc="080A001B" w:tentative="1">
      <w:start w:val="1"/>
      <w:numFmt w:val="lowerRoman"/>
      <w:lvlText w:val="%6."/>
      <w:lvlJc w:val="right"/>
      <w:pPr>
        <w:ind w:left="4378" w:hanging="180"/>
      </w:pPr>
    </w:lvl>
    <w:lvl w:ilvl="6" w:tplc="080A000F" w:tentative="1">
      <w:start w:val="1"/>
      <w:numFmt w:val="decimal"/>
      <w:lvlText w:val="%7."/>
      <w:lvlJc w:val="left"/>
      <w:pPr>
        <w:ind w:left="5098" w:hanging="360"/>
      </w:pPr>
    </w:lvl>
    <w:lvl w:ilvl="7" w:tplc="080A0019" w:tentative="1">
      <w:start w:val="1"/>
      <w:numFmt w:val="lowerLetter"/>
      <w:lvlText w:val="%8."/>
      <w:lvlJc w:val="left"/>
      <w:pPr>
        <w:ind w:left="5818" w:hanging="360"/>
      </w:pPr>
    </w:lvl>
    <w:lvl w:ilvl="8" w:tplc="08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2A60640E"/>
    <w:multiLevelType w:val="hybridMultilevel"/>
    <w:tmpl w:val="C0DA1CD8"/>
    <w:lvl w:ilvl="0" w:tplc="64D6E29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872FE"/>
    <w:multiLevelType w:val="hybridMultilevel"/>
    <w:tmpl w:val="797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B7321"/>
    <w:multiLevelType w:val="hybridMultilevel"/>
    <w:tmpl w:val="1C462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471F7"/>
    <w:multiLevelType w:val="hybridMultilevel"/>
    <w:tmpl w:val="A09E4B38"/>
    <w:lvl w:ilvl="0" w:tplc="080A0015">
      <w:start w:val="1"/>
      <w:numFmt w:val="upperLetter"/>
      <w:lvlText w:val="%1."/>
      <w:lvlJc w:val="left"/>
      <w:pPr>
        <w:ind w:left="1866" w:hanging="360"/>
      </w:pPr>
    </w:lvl>
    <w:lvl w:ilvl="1" w:tplc="080A0019" w:tentative="1">
      <w:start w:val="1"/>
      <w:numFmt w:val="lowerLetter"/>
      <w:lvlText w:val="%2."/>
      <w:lvlJc w:val="left"/>
      <w:pPr>
        <w:ind w:left="2586" w:hanging="360"/>
      </w:pPr>
    </w:lvl>
    <w:lvl w:ilvl="2" w:tplc="080A001B" w:tentative="1">
      <w:start w:val="1"/>
      <w:numFmt w:val="lowerRoman"/>
      <w:lvlText w:val="%3."/>
      <w:lvlJc w:val="right"/>
      <w:pPr>
        <w:ind w:left="3306" w:hanging="180"/>
      </w:pPr>
    </w:lvl>
    <w:lvl w:ilvl="3" w:tplc="080A000F" w:tentative="1">
      <w:start w:val="1"/>
      <w:numFmt w:val="decimal"/>
      <w:lvlText w:val="%4."/>
      <w:lvlJc w:val="left"/>
      <w:pPr>
        <w:ind w:left="4026" w:hanging="360"/>
      </w:pPr>
    </w:lvl>
    <w:lvl w:ilvl="4" w:tplc="080A0019" w:tentative="1">
      <w:start w:val="1"/>
      <w:numFmt w:val="lowerLetter"/>
      <w:lvlText w:val="%5."/>
      <w:lvlJc w:val="left"/>
      <w:pPr>
        <w:ind w:left="4746" w:hanging="360"/>
      </w:pPr>
    </w:lvl>
    <w:lvl w:ilvl="5" w:tplc="080A001B" w:tentative="1">
      <w:start w:val="1"/>
      <w:numFmt w:val="lowerRoman"/>
      <w:lvlText w:val="%6."/>
      <w:lvlJc w:val="right"/>
      <w:pPr>
        <w:ind w:left="5466" w:hanging="180"/>
      </w:pPr>
    </w:lvl>
    <w:lvl w:ilvl="6" w:tplc="080A000F" w:tentative="1">
      <w:start w:val="1"/>
      <w:numFmt w:val="decimal"/>
      <w:lvlText w:val="%7."/>
      <w:lvlJc w:val="left"/>
      <w:pPr>
        <w:ind w:left="6186" w:hanging="360"/>
      </w:pPr>
    </w:lvl>
    <w:lvl w:ilvl="7" w:tplc="080A0019" w:tentative="1">
      <w:start w:val="1"/>
      <w:numFmt w:val="lowerLetter"/>
      <w:lvlText w:val="%8."/>
      <w:lvlJc w:val="left"/>
      <w:pPr>
        <w:ind w:left="6906" w:hanging="360"/>
      </w:pPr>
    </w:lvl>
    <w:lvl w:ilvl="8" w:tplc="0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DDC5D9E"/>
    <w:multiLevelType w:val="multilevel"/>
    <w:tmpl w:val="42D43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A06D2C"/>
    <w:multiLevelType w:val="hybridMultilevel"/>
    <w:tmpl w:val="D78E12FC"/>
    <w:lvl w:ilvl="0" w:tplc="080A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A564666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E7E7637"/>
    <w:multiLevelType w:val="hybridMultilevel"/>
    <w:tmpl w:val="1C8A3ECE"/>
    <w:lvl w:ilvl="0" w:tplc="6F64CC9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A564666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80A001B">
      <w:start w:val="1"/>
      <w:numFmt w:val="lowerRoman"/>
      <w:lvlText w:val="%3."/>
      <w:lvlJc w:val="right"/>
      <w:pPr>
        <w:ind w:left="2226" w:hanging="360"/>
      </w:pPr>
      <w:rPr>
        <w:rFonts w:hint="default"/>
      </w:rPr>
    </w:lvl>
    <w:lvl w:ilvl="3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B67FE"/>
    <w:multiLevelType w:val="hybridMultilevel"/>
    <w:tmpl w:val="A52E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9E31126"/>
    <w:multiLevelType w:val="multilevel"/>
    <w:tmpl w:val="D5EEAD7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ascii="Calibri" w:hAnsi="Calibri" w:hint="default"/>
        <w:sz w:val="22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2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B23EA"/>
    <w:multiLevelType w:val="hybridMultilevel"/>
    <w:tmpl w:val="274E4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E1C29"/>
    <w:multiLevelType w:val="multilevel"/>
    <w:tmpl w:val="8FCE7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13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5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1556D"/>
    <w:rsid w:val="00045DA0"/>
    <w:rsid w:val="000A181B"/>
    <w:rsid w:val="000B486F"/>
    <w:rsid w:val="000C4667"/>
    <w:rsid w:val="000E6223"/>
    <w:rsid w:val="001311E8"/>
    <w:rsid w:val="00142461"/>
    <w:rsid w:val="001C579B"/>
    <w:rsid w:val="001D5B6D"/>
    <w:rsid w:val="001E56FB"/>
    <w:rsid w:val="001F38F8"/>
    <w:rsid w:val="002624A2"/>
    <w:rsid w:val="00266542"/>
    <w:rsid w:val="00266D3E"/>
    <w:rsid w:val="00270325"/>
    <w:rsid w:val="00294FAB"/>
    <w:rsid w:val="002955B2"/>
    <w:rsid w:val="002A6A68"/>
    <w:rsid w:val="002B05CB"/>
    <w:rsid w:val="002B2E10"/>
    <w:rsid w:val="002B5F4E"/>
    <w:rsid w:val="002E2DF0"/>
    <w:rsid w:val="002E4758"/>
    <w:rsid w:val="0030664E"/>
    <w:rsid w:val="003154FE"/>
    <w:rsid w:val="00326E4E"/>
    <w:rsid w:val="00336E37"/>
    <w:rsid w:val="0035714E"/>
    <w:rsid w:val="003611D9"/>
    <w:rsid w:val="00371627"/>
    <w:rsid w:val="00373715"/>
    <w:rsid w:val="0037496D"/>
    <w:rsid w:val="003C6BF9"/>
    <w:rsid w:val="003D605B"/>
    <w:rsid w:val="00446DF1"/>
    <w:rsid w:val="004816CE"/>
    <w:rsid w:val="004928E6"/>
    <w:rsid w:val="00492F6F"/>
    <w:rsid w:val="004B1140"/>
    <w:rsid w:val="004C7DD6"/>
    <w:rsid w:val="004F44F2"/>
    <w:rsid w:val="004F5680"/>
    <w:rsid w:val="0050283A"/>
    <w:rsid w:val="00520062"/>
    <w:rsid w:val="00520457"/>
    <w:rsid w:val="00537783"/>
    <w:rsid w:val="005532BC"/>
    <w:rsid w:val="005E36EE"/>
    <w:rsid w:val="00652B25"/>
    <w:rsid w:val="00676CD3"/>
    <w:rsid w:val="00686229"/>
    <w:rsid w:val="006B0BEC"/>
    <w:rsid w:val="006C0811"/>
    <w:rsid w:val="006D53B6"/>
    <w:rsid w:val="006F39A1"/>
    <w:rsid w:val="00702BFE"/>
    <w:rsid w:val="00704088"/>
    <w:rsid w:val="0073015F"/>
    <w:rsid w:val="00757145"/>
    <w:rsid w:val="00766C7E"/>
    <w:rsid w:val="00780F22"/>
    <w:rsid w:val="0078164D"/>
    <w:rsid w:val="007B08D2"/>
    <w:rsid w:val="007C3976"/>
    <w:rsid w:val="007C77A0"/>
    <w:rsid w:val="007F584C"/>
    <w:rsid w:val="0081614B"/>
    <w:rsid w:val="00820AD2"/>
    <w:rsid w:val="00833CE4"/>
    <w:rsid w:val="00836B1D"/>
    <w:rsid w:val="00867391"/>
    <w:rsid w:val="00885312"/>
    <w:rsid w:val="0089179F"/>
    <w:rsid w:val="008E02C9"/>
    <w:rsid w:val="00927BED"/>
    <w:rsid w:val="00951A6D"/>
    <w:rsid w:val="00955959"/>
    <w:rsid w:val="00992282"/>
    <w:rsid w:val="009A2020"/>
    <w:rsid w:val="009A2DCB"/>
    <w:rsid w:val="009A72DD"/>
    <w:rsid w:val="009A7AE1"/>
    <w:rsid w:val="009F2AE2"/>
    <w:rsid w:val="00A13269"/>
    <w:rsid w:val="00A22379"/>
    <w:rsid w:val="00A34B0D"/>
    <w:rsid w:val="00A358C2"/>
    <w:rsid w:val="00A413EC"/>
    <w:rsid w:val="00A757BF"/>
    <w:rsid w:val="00AA520F"/>
    <w:rsid w:val="00AA7938"/>
    <w:rsid w:val="00AA7FF5"/>
    <w:rsid w:val="00AB481E"/>
    <w:rsid w:val="00AC3098"/>
    <w:rsid w:val="00AD04B1"/>
    <w:rsid w:val="00B315BA"/>
    <w:rsid w:val="00B359F4"/>
    <w:rsid w:val="00B64BDC"/>
    <w:rsid w:val="00B94FAA"/>
    <w:rsid w:val="00BB1359"/>
    <w:rsid w:val="00BC5D85"/>
    <w:rsid w:val="00BE1146"/>
    <w:rsid w:val="00BE640D"/>
    <w:rsid w:val="00BE6E80"/>
    <w:rsid w:val="00C374D3"/>
    <w:rsid w:val="00C825EC"/>
    <w:rsid w:val="00C8548F"/>
    <w:rsid w:val="00CA38E2"/>
    <w:rsid w:val="00CA4BD7"/>
    <w:rsid w:val="00CB0DF7"/>
    <w:rsid w:val="00CD77BF"/>
    <w:rsid w:val="00CE64D8"/>
    <w:rsid w:val="00D33AB9"/>
    <w:rsid w:val="00D43EA6"/>
    <w:rsid w:val="00D60CBD"/>
    <w:rsid w:val="00D631D4"/>
    <w:rsid w:val="00D70D86"/>
    <w:rsid w:val="00D71A85"/>
    <w:rsid w:val="00D81313"/>
    <w:rsid w:val="00D94FDF"/>
    <w:rsid w:val="00D971B6"/>
    <w:rsid w:val="00DA6FC2"/>
    <w:rsid w:val="00DE3CDA"/>
    <w:rsid w:val="00DE765C"/>
    <w:rsid w:val="00E1024B"/>
    <w:rsid w:val="00E22636"/>
    <w:rsid w:val="00E540E0"/>
    <w:rsid w:val="00E72776"/>
    <w:rsid w:val="00E83E70"/>
    <w:rsid w:val="00EA3FC3"/>
    <w:rsid w:val="00EC43A7"/>
    <w:rsid w:val="00EC6309"/>
    <w:rsid w:val="00ED1C24"/>
    <w:rsid w:val="00ED4A6A"/>
    <w:rsid w:val="00F06ED2"/>
    <w:rsid w:val="00F154C6"/>
    <w:rsid w:val="00F40BB0"/>
    <w:rsid w:val="00F422F4"/>
    <w:rsid w:val="00F55611"/>
    <w:rsid w:val="00F55BAF"/>
    <w:rsid w:val="00F70BD2"/>
    <w:rsid w:val="00F73240"/>
    <w:rsid w:val="00FA01B3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B25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B25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2B25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2B25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B2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B25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B25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B25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B25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2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2B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52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B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B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B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B25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B25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2B25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2B25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B2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B25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B25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B25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B25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2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2B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52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B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B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B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B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2</cp:revision>
  <cp:lastPrinted>2018-11-09T17:32:00Z</cp:lastPrinted>
  <dcterms:created xsi:type="dcterms:W3CDTF">2018-11-09T22:11:00Z</dcterms:created>
  <dcterms:modified xsi:type="dcterms:W3CDTF">2018-11-09T22:11:00Z</dcterms:modified>
</cp:coreProperties>
</file>